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A3" w:rsidRPr="008414C1" w:rsidRDefault="006B5DA3" w:rsidP="006B5DA3">
      <w:pPr>
        <w:snapToGrid w:val="0"/>
        <w:jc w:val="center"/>
        <w:rPr>
          <w:rFonts w:ascii="PMingLiU" w:hAnsi="PMingLiU"/>
          <w:b/>
          <w:sz w:val="32"/>
        </w:rPr>
      </w:pPr>
      <w:r w:rsidRPr="008414C1">
        <w:rPr>
          <w:rFonts w:ascii="PMingLiU" w:hAnsi="PMingLiU" w:hint="eastAsia"/>
          <w:b/>
          <w:sz w:val="32"/>
        </w:rPr>
        <w:t>循　道　中　學</w:t>
      </w:r>
    </w:p>
    <w:p w:rsidR="006B5DA3" w:rsidRPr="008414C1" w:rsidRDefault="006B5DA3" w:rsidP="006B5DA3">
      <w:pPr>
        <w:jc w:val="center"/>
        <w:rPr>
          <w:rFonts w:ascii="PMingLiU" w:hAnsi="PMingLiU"/>
          <w:b/>
          <w:sz w:val="32"/>
        </w:rPr>
      </w:pPr>
      <w:r w:rsidRPr="008414C1">
        <w:rPr>
          <w:rFonts w:ascii="PMingLiU" w:hAnsi="PMingLiU" w:hint="eastAsia"/>
          <w:b/>
          <w:spacing w:val="30"/>
          <w:sz w:val="32"/>
        </w:rPr>
        <w:t>中一學位</w:t>
      </w:r>
      <w:r w:rsidR="00326A4C" w:rsidRPr="00326A4C">
        <w:rPr>
          <w:rFonts w:ascii="PMingLiU" w:hAnsi="PMingLiU" w:hint="eastAsia"/>
          <w:b/>
          <w:spacing w:val="30"/>
          <w:sz w:val="32"/>
        </w:rPr>
        <w:t>資料</w:t>
      </w:r>
    </w:p>
    <w:p w:rsidR="006B5DA3" w:rsidRPr="008414C1" w:rsidRDefault="006B5DA3" w:rsidP="006B5DA3">
      <w:pPr>
        <w:snapToGrid w:val="0"/>
        <w:jc w:val="center"/>
        <w:rPr>
          <w:rFonts w:ascii="PMingLiU" w:hAnsi="PMingLiU"/>
          <w:b/>
          <w:sz w:val="10"/>
          <w:szCs w:val="10"/>
        </w:rPr>
      </w:pPr>
    </w:p>
    <w:p w:rsidR="006B5DA3" w:rsidRPr="008414C1" w:rsidRDefault="006B5DA3" w:rsidP="006B5DA3">
      <w:pPr>
        <w:rPr>
          <w:rFonts w:ascii="PMingLiU"/>
          <w:b/>
          <w:bCs/>
          <w:sz w:val="28"/>
        </w:rPr>
      </w:pPr>
      <w:r w:rsidRPr="008414C1">
        <w:rPr>
          <w:rFonts w:ascii="PMingLiU" w:hint="eastAsia"/>
          <w:b/>
          <w:bCs/>
          <w:sz w:val="28"/>
        </w:rPr>
        <w:t>中一學位資料</w:t>
      </w:r>
      <w:r w:rsidR="00326A4C">
        <w:rPr>
          <w:rFonts w:ascii="PMingLiU" w:hint="eastAsia"/>
          <w:b/>
          <w:bCs/>
          <w:sz w:val="28"/>
        </w:rPr>
        <w:t xml:space="preserve"> (2020</w:t>
      </w:r>
      <w:r w:rsidRPr="008414C1">
        <w:rPr>
          <w:rFonts w:ascii="PMingLiU" w:hint="eastAsia"/>
          <w:b/>
          <w:bCs/>
          <w:sz w:val="28"/>
        </w:rPr>
        <w:t>-20</w:t>
      </w:r>
      <w:r w:rsidR="00326A4C">
        <w:rPr>
          <w:rFonts w:ascii="PMingLiU"/>
          <w:b/>
          <w:bCs/>
          <w:sz w:val="28"/>
        </w:rPr>
        <w:t>21</w:t>
      </w:r>
      <w:r w:rsidRPr="008414C1">
        <w:rPr>
          <w:rFonts w:ascii="PMingLiU" w:hint="eastAsia"/>
          <w:b/>
          <w:bCs/>
          <w:sz w:val="28"/>
        </w:rPr>
        <w:t>)</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720"/>
        <w:gridCol w:w="6660"/>
      </w:tblGrid>
      <w:tr w:rsidR="006B5DA3" w:rsidRPr="008414C1" w:rsidTr="00104737">
        <w:tc>
          <w:tcPr>
            <w:tcW w:w="2728" w:type="dxa"/>
            <w:vAlign w:val="center"/>
          </w:tcPr>
          <w:p w:rsidR="006B5DA3" w:rsidRPr="008414C1" w:rsidRDefault="006B5DA3" w:rsidP="00104737">
            <w:pPr>
              <w:tabs>
                <w:tab w:val="left" w:pos="720"/>
              </w:tabs>
              <w:jc w:val="center"/>
              <w:rPr>
                <w:szCs w:val="20"/>
              </w:rPr>
            </w:pPr>
          </w:p>
        </w:tc>
        <w:tc>
          <w:tcPr>
            <w:tcW w:w="720" w:type="dxa"/>
            <w:vAlign w:val="center"/>
          </w:tcPr>
          <w:p w:rsidR="006B5DA3" w:rsidRPr="008414C1" w:rsidRDefault="006B5DA3" w:rsidP="00104737">
            <w:pPr>
              <w:tabs>
                <w:tab w:val="left" w:pos="720"/>
              </w:tabs>
              <w:jc w:val="center"/>
              <w:rPr>
                <w:szCs w:val="20"/>
              </w:rPr>
            </w:pPr>
            <w:r w:rsidRPr="008414C1">
              <w:rPr>
                <w:rFonts w:hint="eastAsia"/>
                <w:szCs w:val="20"/>
              </w:rPr>
              <w:t>學額</w:t>
            </w:r>
          </w:p>
        </w:tc>
        <w:tc>
          <w:tcPr>
            <w:tcW w:w="6660" w:type="dxa"/>
            <w:vAlign w:val="center"/>
          </w:tcPr>
          <w:p w:rsidR="006B5DA3" w:rsidRPr="008414C1" w:rsidRDefault="006B5DA3" w:rsidP="00104737">
            <w:pPr>
              <w:tabs>
                <w:tab w:val="left" w:pos="720"/>
              </w:tabs>
              <w:jc w:val="center"/>
              <w:rPr>
                <w:szCs w:val="20"/>
              </w:rPr>
            </w:pPr>
            <w:r w:rsidRPr="008414C1">
              <w:rPr>
                <w:rFonts w:hint="eastAsia"/>
                <w:szCs w:val="20"/>
              </w:rPr>
              <w:t>備註／參考資料</w:t>
            </w:r>
          </w:p>
        </w:tc>
      </w:tr>
      <w:tr w:rsidR="00AE2CCC" w:rsidRPr="008414C1" w:rsidTr="00104737">
        <w:tc>
          <w:tcPr>
            <w:tcW w:w="2728" w:type="dxa"/>
            <w:vAlign w:val="center"/>
          </w:tcPr>
          <w:p w:rsidR="00AE2CCC" w:rsidRPr="008414C1" w:rsidRDefault="00AE2CCC" w:rsidP="00AE2CCC">
            <w:pPr>
              <w:tabs>
                <w:tab w:val="left" w:pos="720"/>
              </w:tabs>
              <w:jc w:val="center"/>
              <w:rPr>
                <w:szCs w:val="20"/>
              </w:rPr>
            </w:pPr>
            <w:r w:rsidRPr="008414C1">
              <w:rPr>
                <w:rFonts w:hint="eastAsia"/>
                <w:szCs w:val="20"/>
              </w:rPr>
              <w:t>中一學額總數</w:t>
            </w:r>
            <w:r w:rsidRPr="008414C1">
              <w:rPr>
                <w:rFonts w:hint="eastAsia"/>
                <w:szCs w:val="20"/>
              </w:rPr>
              <w:t xml:space="preserve"> (A+B+C)</w:t>
            </w:r>
          </w:p>
        </w:tc>
        <w:tc>
          <w:tcPr>
            <w:tcW w:w="720" w:type="dxa"/>
            <w:vAlign w:val="center"/>
          </w:tcPr>
          <w:p w:rsidR="00AE2CCC" w:rsidRPr="00EB7BE0" w:rsidRDefault="00AE2CCC" w:rsidP="00AE2CCC">
            <w:pPr>
              <w:snapToGrid w:val="0"/>
              <w:jc w:val="center"/>
              <w:rPr>
                <w:rFonts w:ascii="Arial" w:hAnsi="Arial" w:cs="Arial"/>
              </w:rPr>
            </w:pPr>
            <w:r w:rsidRPr="00EB7BE0">
              <w:rPr>
                <w:rFonts w:ascii="Arial" w:hAnsi="Arial" w:cs="Arial"/>
              </w:rPr>
              <w:t>132</w:t>
            </w:r>
          </w:p>
        </w:tc>
        <w:tc>
          <w:tcPr>
            <w:tcW w:w="6660" w:type="dxa"/>
            <w:vAlign w:val="center"/>
          </w:tcPr>
          <w:p w:rsidR="00AE2CCC" w:rsidRPr="008414C1" w:rsidRDefault="00AE2CCC" w:rsidP="00AE2CCC">
            <w:pPr>
              <w:tabs>
                <w:tab w:val="left" w:pos="720"/>
              </w:tabs>
              <w:jc w:val="both"/>
              <w:rPr>
                <w:szCs w:val="20"/>
              </w:rPr>
            </w:pPr>
            <w:r w:rsidRPr="008414C1">
              <w:rPr>
                <w:rFonts w:hint="eastAsia"/>
                <w:szCs w:val="20"/>
              </w:rPr>
              <w:t>共四班，四班均以英語為主要教學語言。</w:t>
            </w:r>
          </w:p>
        </w:tc>
      </w:tr>
      <w:tr w:rsidR="00AE2CCC" w:rsidRPr="008414C1" w:rsidTr="00104737">
        <w:tc>
          <w:tcPr>
            <w:tcW w:w="2728" w:type="dxa"/>
            <w:vAlign w:val="center"/>
          </w:tcPr>
          <w:p w:rsidR="00AE2CCC" w:rsidRPr="008414C1" w:rsidRDefault="00AE2CCC" w:rsidP="00AE2CCC">
            <w:pPr>
              <w:tabs>
                <w:tab w:val="left" w:pos="720"/>
              </w:tabs>
              <w:jc w:val="center"/>
              <w:rPr>
                <w:szCs w:val="20"/>
              </w:rPr>
            </w:pPr>
            <w:r w:rsidRPr="008414C1">
              <w:rPr>
                <w:rFonts w:hint="eastAsia"/>
                <w:szCs w:val="20"/>
              </w:rPr>
              <w:t>預設留級學額</w:t>
            </w:r>
            <w:r w:rsidRPr="008414C1">
              <w:rPr>
                <w:rFonts w:hint="eastAsia"/>
                <w:szCs w:val="20"/>
              </w:rPr>
              <w:t xml:space="preserve"> (A)</w:t>
            </w:r>
          </w:p>
        </w:tc>
        <w:tc>
          <w:tcPr>
            <w:tcW w:w="720" w:type="dxa"/>
            <w:vAlign w:val="center"/>
          </w:tcPr>
          <w:p w:rsidR="00AE2CCC" w:rsidRPr="00EB7BE0" w:rsidRDefault="00AE2CCC" w:rsidP="00AE2CCC">
            <w:pPr>
              <w:snapToGrid w:val="0"/>
              <w:jc w:val="center"/>
              <w:rPr>
                <w:rFonts w:ascii="Arial" w:hAnsi="Arial" w:cs="Arial"/>
                <w:lang w:eastAsia="zh-HK"/>
              </w:rPr>
            </w:pPr>
            <w:r w:rsidRPr="00EB7BE0">
              <w:rPr>
                <w:rFonts w:ascii="Arial" w:hAnsi="Arial" w:cs="Arial" w:hint="eastAsia"/>
                <w:lang w:eastAsia="zh-HK"/>
              </w:rPr>
              <w:t>8</w:t>
            </w:r>
          </w:p>
        </w:tc>
        <w:tc>
          <w:tcPr>
            <w:tcW w:w="6660" w:type="dxa"/>
            <w:vAlign w:val="center"/>
          </w:tcPr>
          <w:p w:rsidR="00AE2CCC" w:rsidRPr="008414C1" w:rsidRDefault="00AE2CCC" w:rsidP="00AE2CCC">
            <w:pPr>
              <w:tabs>
                <w:tab w:val="left" w:pos="720"/>
              </w:tabs>
              <w:jc w:val="both"/>
              <w:rPr>
                <w:szCs w:val="20"/>
                <w:lang w:eastAsia="zh-HK"/>
              </w:rPr>
            </w:pPr>
            <w:r w:rsidRPr="008414C1">
              <w:rPr>
                <w:rFonts w:hint="eastAsia"/>
                <w:szCs w:val="20"/>
              </w:rPr>
              <w:t>沒有使用之留級學額，可於派位結果公布後，由本校自行分配。</w:t>
            </w:r>
            <w:r w:rsidRPr="008414C1">
              <w:rPr>
                <w:rFonts w:hint="eastAsia"/>
                <w:szCs w:val="20"/>
                <w:lang w:eastAsia="zh-HK"/>
              </w:rPr>
              <w:t xml:space="preserve"> (</w:t>
            </w:r>
            <w:r w:rsidRPr="008414C1">
              <w:rPr>
                <w:rFonts w:hint="eastAsia"/>
                <w:szCs w:val="20"/>
                <w:lang w:eastAsia="zh-HK"/>
              </w:rPr>
              <w:t>有關</w:t>
            </w:r>
            <w:r w:rsidRPr="008414C1">
              <w:rPr>
                <w:rFonts w:hint="eastAsia"/>
                <w:szCs w:val="20"/>
              </w:rPr>
              <w:t>候補生</w:t>
            </w:r>
            <w:r w:rsidRPr="008414C1">
              <w:rPr>
                <w:rFonts w:hint="eastAsia"/>
                <w:szCs w:val="20"/>
                <w:lang w:eastAsia="zh-HK"/>
              </w:rPr>
              <w:t>的申請手續，請於</w:t>
            </w:r>
            <w:r w:rsidRPr="008414C1">
              <w:rPr>
                <w:rFonts w:hint="eastAsia"/>
                <w:szCs w:val="20"/>
              </w:rPr>
              <w:t>派位結果公布前，參閱本校網頁。</w:t>
            </w:r>
            <w:r w:rsidRPr="008414C1">
              <w:rPr>
                <w:rFonts w:hint="eastAsia"/>
                <w:szCs w:val="20"/>
                <w:lang w:eastAsia="zh-HK"/>
              </w:rPr>
              <w:t>)</w:t>
            </w:r>
          </w:p>
        </w:tc>
      </w:tr>
      <w:tr w:rsidR="00AE2CCC" w:rsidRPr="008414C1" w:rsidTr="00104737">
        <w:tc>
          <w:tcPr>
            <w:tcW w:w="2728" w:type="dxa"/>
            <w:vAlign w:val="center"/>
          </w:tcPr>
          <w:p w:rsidR="00AE2CCC" w:rsidRPr="008414C1" w:rsidRDefault="00AE2CCC" w:rsidP="00AE2CCC">
            <w:pPr>
              <w:tabs>
                <w:tab w:val="left" w:pos="720"/>
              </w:tabs>
              <w:jc w:val="center"/>
              <w:rPr>
                <w:szCs w:val="20"/>
              </w:rPr>
            </w:pPr>
            <w:r w:rsidRPr="008414C1">
              <w:rPr>
                <w:rFonts w:hint="eastAsia"/>
                <w:szCs w:val="20"/>
              </w:rPr>
              <w:t>供自行</w:t>
            </w:r>
            <w:r>
              <w:rPr>
                <w:rFonts w:hint="eastAsia"/>
                <w:szCs w:val="20"/>
              </w:rPr>
              <w:t>分配</w:t>
            </w:r>
            <w:r w:rsidRPr="008414C1">
              <w:rPr>
                <w:rFonts w:hint="eastAsia"/>
                <w:szCs w:val="20"/>
              </w:rPr>
              <w:t>之學額</w:t>
            </w:r>
            <w:r w:rsidRPr="008414C1">
              <w:rPr>
                <w:rFonts w:hint="eastAsia"/>
                <w:szCs w:val="20"/>
              </w:rPr>
              <w:t xml:space="preserve"> (B)</w:t>
            </w:r>
          </w:p>
        </w:tc>
        <w:tc>
          <w:tcPr>
            <w:tcW w:w="720" w:type="dxa"/>
            <w:vAlign w:val="center"/>
          </w:tcPr>
          <w:p w:rsidR="00AE2CCC" w:rsidRPr="00EB7BE0" w:rsidRDefault="00AE2CCC" w:rsidP="00AE2CCC">
            <w:pPr>
              <w:snapToGrid w:val="0"/>
              <w:jc w:val="center"/>
              <w:rPr>
                <w:rFonts w:ascii="Arial" w:hAnsi="Arial" w:cs="Arial"/>
              </w:rPr>
            </w:pPr>
            <w:r w:rsidRPr="00EB7BE0">
              <w:rPr>
                <w:rFonts w:ascii="Arial" w:hAnsi="Arial" w:cs="Arial"/>
                <w:lang w:eastAsia="zh-HK"/>
              </w:rPr>
              <w:t>40</w:t>
            </w:r>
          </w:p>
        </w:tc>
        <w:tc>
          <w:tcPr>
            <w:tcW w:w="6660" w:type="dxa"/>
            <w:vAlign w:val="center"/>
          </w:tcPr>
          <w:p w:rsidR="00AE2CCC" w:rsidRPr="008414C1" w:rsidRDefault="00AE2CCC" w:rsidP="00AE2CCC">
            <w:pPr>
              <w:tabs>
                <w:tab w:val="left" w:pos="720"/>
              </w:tabs>
              <w:jc w:val="both"/>
              <w:rPr>
                <w:szCs w:val="20"/>
              </w:rPr>
            </w:pPr>
          </w:p>
        </w:tc>
      </w:tr>
      <w:tr w:rsidR="00AE2CCC" w:rsidRPr="008414C1" w:rsidTr="00104737">
        <w:tc>
          <w:tcPr>
            <w:tcW w:w="2728" w:type="dxa"/>
            <w:vAlign w:val="center"/>
          </w:tcPr>
          <w:p w:rsidR="00AE2CCC" w:rsidRPr="008414C1" w:rsidRDefault="00AE2CCC" w:rsidP="00AE2CCC">
            <w:pPr>
              <w:tabs>
                <w:tab w:val="left" w:pos="720"/>
              </w:tabs>
              <w:jc w:val="center"/>
              <w:rPr>
                <w:szCs w:val="20"/>
              </w:rPr>
            </w:pPr>
            <w:r w:rsidRPr="008414C1">
              <w:rPr>
                <w:rFonts w:hint="eastAsia"/>
                <w:szCs w:val="20"/>
              </w:rPr>
              <w:t>供統一派位之學額</w:t>
            </w:r>
            <w:r w:rsidRPr="008414C1">
              <w:rPr>
                <w:rFonts w:hint="eastAsia"/>
                <w:szCs w:val="20"/>
              </w:rPr>
              <w:t xml:space="preserve"> (C)</w:t>
            </w:r>
          </w:p>
        </w:tc>
        <w:tc>
          <w:tcPr>
            <w:tcW w:w="720" w:type="dxa"/>
            <w:vAlign w:val="center"/>
          </w:tcPr>
          <w:p w:rsidR="00AE2CCC" w:rsidRPr="00EB7BE0" w:rsidRDefault="00AE2CCC" w:rsidP="00AE2CCC">
            <w:pPr>
              <w:snapToGrid w:val="0"/>
              <w:jc w:val="center"/>
              <w:rPr>
                <w:rFonts w:ascii="Arial" w:hAnsi="Arial" w:cs="Arial"/>
              </w:rPr>
            </w:pPr>
            <w:r w:rsidRPr="00EB7BE0">
              <w:rPr>
                <w:rFonts w:ascii="Arial" w:hAnsi="Arial" w:cs="Arial"/>
              </w:rPr>
              <w:t>84</w:t>
            </w:r>
          </w:p>
        </w:tc>
        <w:tc>
          <w:tcPr>
            <w:tcW w:w="6660" w:type="dxa"/>
            <w:vAlign w:val="center"/>
          </w:tcPr>
          <w:p w:rsidR="00AE2CCC" w:rsidRPr="008414C1" w:rsidRDefault="00AE2CCC" w:rsidP="00AE2CCC">
            <w:pPr>
              <w:tabs>
                <w:tab w:val="left" w:pos="720"/>
              </w:tabs>
              <w:jc w:val="both"/>
              <w:rPr>
                <w:szCs w:val="20"/>
              </w:rPr>
            </w:pPr>
          </w:p>
        </w:tc>
      </w:tr>
      <w:tr w:rsidR="00AE2CCC" w:rsidRPr="008414C1" w:rsidTr="00104737">
        <w:tc>
          <w:tcPr>
            <w:tcW w:w="2728" w:type="dxa"/>
            <w:vAlign w:val="center"/>
          </w:tcPr>
          <w:p w:rsidR="00AE2CCC" w:rsidRPr="008414C1" w:rsidRDefault="00AE2CCC" w:rsidP="00AE2CCC">
            <w:pPr>
              <w:tabs>
                <w:tab w:val="left" w:pos="720"/>
              </w:tabs>
              <w:jc w:val="center"/>
              <w:rPr>
                <w:szCs w:val="20"/>
              </w:rPr>
            </w:pPr>
            <w:r w:rsidRPr="008414C1">
              <w:rPr>
                <w:rFonts w:hint="eastAsia"/>
                <w:szCs w:val="20"/>
              </w:rPr>
              <w:t>自行及統一派位之總學額</w:t>
            </w:r>
          </w:p>
          <w:p w:rsidR="00AE2CCC" w:rsidRPr="008414C1" w:rsidRDefault="00AE2CCC" w:rsidP="00AE2CCC">
            <w:pPr>
              <w:tabs>
                <w:tab w:val="left" w:pos="720"/>
              </w:tabs>
              <w:jc w:val="center"/>
              <w:rPr>
                <w:szCs w:val="20"/>
              </w:rPr>
            </w:pPr>
            <w:r w:rsidRPr="008414C1">
              <w:rPr>
                <w:rFonts w:hint="eastAsia"/>
                <w:szCs w:val="20"/>
              </w:rPr>
              <w:t>(B+C)</w:t>
            </w:r>
          </w:p>
        </w:tc>
        <w:tc>
          <w:tcPr>
            <w:tcW w:w="720" w:type="dxa"/>
            <w:vAlign w:val="center"/>
          </w:tcPr>
          <w:p w:rsidR="00AE2CCC" w:rsidRPr="00EB7BE0" w:rsidRDefault="00AE2CCC" w:rsidP="00AE2CCC">
            <w:pPr>
              <w:snapToGrid w:val="0"/>
              <w:jc w:val="center"/>
              <w:rPr>
                <w:rFonts w:ascii="Arial" w:hAnsi="Arial" w:cs="Arial"/>
              </w:rPr>
            </w:pPr>
            <w:r w:rsidRPr="00EB7BE0">
              <w:rPr>
                <w:rFonts w:ascii="Arial" w:hAnsi="Arial" w:cs="Arial"/>
                <w:lang w:eastAsia="zh-HK"/>
              </w:rPr>
              <w:t>124</w:t>
            </w:r>
          </w:p>
        </w:tc>
        <w:tc>
          <w:tcPr>
            <w:tcW w:w="6660" w:type="dxa"/>
            <w:vAlign w:val="center"/>
          </w:tcPr>
          <w:p w:rsidR="00AE2CCC" w:rsidRPr="008414C1" w:rsidRDefault="00AE2CCC" w:rsidP="00AE2CCC">
            <w:pPr>
              <w:tabs>
                <w:tab w:val="left" w:pos="720"/>
              </w:tabs>
              <w:jc w:val="both"/>
              <w:rPr>
                <w:szCs w:val="20"/>
              </w:rPr>
            </w:pPr>
          </w:p>
        </w:tc>
      </w:tr>
    </w:tbl>
    <w:p w:rsidR="006B5DA3" w:rsidRPr="008414C1" w:rsidRDefault="006B5DA3" w:rsidP="006B5DA3">
      <w:pPr>
        <w:snapToGrid w:val="0"/>
        <w:rPr>
          <w:rFonts w:ascii="PMingLiU"/>
          <w:b/>
          <w:bCs/>
          <w:sz w:val="16"/>
          <w:szCs w:val="16"/>
        </w:rPr>
      </w:pPr>
    </w:p>
    <w:p w:rsidR="00326A4C" w:rsidRPr="008414C1" w:rsidRDefault="00326A4C" w:rsidP="00326A4C">
      <w:pPr>
        <w:snapToGrid w:val="0"/>
        <w:rPr>
          <w:rFonts w:ascii="Arial" w:hAnsi="Arial" w:cs="Arial"/>
          <w:b/>
          <w:lang w:eastAsia="zh-HK"/>
        </w:rPr>
      </w:pPr>
      <w:r w:rsidRPr="008414C1">
        <w:rPr>
          <w:rFonts w:ascii="Arial" w:hAnsi="Arial" w:cs="Arial" w:hint="eastAsia"/>
          <w:b/>
          <w:lang w:eastAsia="zh-HK"/>
        </w:rPr>
        <w:t>Information on S1 places (20</w:t>
      </w:r>
      <w:r>
        <w:rPr>
          <w:rFonts w:ascii="Arial" w:hAnsi="Arial" w:cs="Arial"/>
          <w:b/>
          <w:lang w:eastAsia="zh-HK"/>
        </w:rPr>
        <w:t>20-</w:t>
      </w:r>
      <w:r w:rsidRPr="008414C1">
        <w:rPr>
          <w:rFonts w:ascii="Arial" w:hAnsi="Arial" w:cs="Arial" w:hint="eastAsia"/>
          <w:b/>
          <w:lang w:eastAsia="zh-HK"/>
        </w:rPr>
        <w:t>20</w:t>
      </w:r>
      <w:r>
        <w:rPr>
          <w:rFonts w:ascii="Arial" w:hAnsi="Arial" w:cs="Arial"/>
          <w:b/>
          <w:lang w:eastAsia="zh-HK"/>
        </w:rPr>
        <w:t>21</w:t>
      </w:r>
      <w:r w:rsidRPr="008414C1">
        <w:rPr>
          <w:rFonts w:ascii="Arial" w:hAnsi="Arial" w:cs="Arial" w:hint="eastAsia"/>
          <w:b/>
          <w:lang w:eastAsia="zh-HK"/>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993"/>
        <w:gridCol w:w="6252"/>
      </w:tblGrid>
      <w:tr w:rsidR="00326A4C" w:rsidRPr="00822276" w:rsidTr="00DC238A">
        <w:tc>
          <w:tcPr>
            <w:tcW w:w="2835" w:type="dxa"/>
            <w:shd w:val="clear" w:color="auto" w:fill="auto"/>
            <w:vAlign w:val="center"/>
          </w:tcPr>
          <w:p w:rsidR="00326A4C" w:rsidRPr="00822276" w:rsidRDefault="00326A4C" w:rsidP="00DC238A">
            <w:pPr>
              <w:snapToGrid w:val="0"/>
              <w:jc w:val="center"/>
              <w:rPr>
                <w:rFonts w:ascii="Arial" w:hAnsi="Arial" w:cs="Arial"/>
                <w:lang w:eastAsia="zh-HK"/>
              </w:rPr>
            </w:pPr>
          </w:p>
        </w:tc>
        <w:tc>
          <w:tcPr>
            <w:tcW w:w="993" w:type="dxa"/>
            <w:shd w:val="clear" w:color="auto" w:fill="auto"/>
          </w:tcPr>
          <w:p w:rsidR="00326A4C" w:rsidRPr="00822276" w:rsidRDefault="00326A4C" w:rsidP="00DC238A">
            <w:pPr>
              <w:snapToGrid w:val="0"/>
              <w:jc w:val="center"/>
              <w:rPr>
                <w:rFonts w:ascii="Arial" w:hAnsi="Arial" w:cs="Arial"/>
                <w:lang w:eastAsia="zh-HK"/>
              </w:rPr>
            </w:pPr>
            <w:r w:rsidRPr="00822276">
              <w:rPr>
                <w:rFonts w:ascii="Arial" w:hAnsi="Arial" w:cs="Arial" w:hint="eastAsia"/>
                <w:lang w:eastAsia="zh-HK"/>
              </w:rPr>
              <w:t>Places</w:t>
            </w:r>
          </w:p>
        </w:tc>
        <w:tc>
          <w:tcPr>
            <w:tcW w:w="6252" w:type="dxa"/>
            <w:shd w:val="clear" w:color="auto" w:fill="auto"/>
          </w:tcPr>
          <w:p w:rsidR="00326A4C" w:rsidRPr="00822276" w:rsidRDefault="00326A4C" w:rsidP="00DC238A">
            <w:pPr>
              <w:snapToGrid w:val="0"/>
              <w:jc w:val="center"/>
              <w:rPr>
                <w:rFonts w:ascii="Arial" w:hAnsi="Arial" w:cs="Arial"/>
                <w:lang w:eastAsia="zh-HK"/>
              </w:rPr>
            </w:pPr>
            <w:r w:rsidRPr="00822276">
              <w:rPr>
                <w:rFonts w:ascii="Arial" w:hAnsi="Arial" w:cs="Arial" w:hint="eastAsia"/>
                <w:lang w:eastAsia="zh-HK"/>
              </w:rPr>
              <w:t>Remarks / References</w:t>
            </w:r>
          </w:p>
        </w:tc>
      </w:tr>
      <w:tr w:rsidR="00326A4C" w:rsidRPr="00822276" w:rsidTr="00DC238A">
        <w:tc>
          <w:tcPr>
            <w:tcW w:w="2835" w:type="dxa"/>
            <w:shd w:val="clear" w:color="auto" w:fill="auto"/>
            <w:vAlign w:val="center"/>
          </w:tcPr>
          <w:p w:rsidR="00326A4C" w:rsidRPr="00822276" w:rsidRDefault="00326A4C" w:rsidP="00DC238A">
            <w:pPr>
              <w:snapToGrid w:val="0"/>
              <w:jc w:val="center"/>
              <w:rPr>
                <w:rFonts w:ascii="Arial" w:hAnsi="Arial" w:cs="Arial"/>
                <w:lang w:eastAsia="zh-HK"/>
              </w:rPr>
            </w:pPr>
            <w:r w:rsidRPr="00822276">
              <w:rPr>
                <w:rFonts w:ascii="Arial" w:hAnsi="Arial" w:cs="Arial" w:hint="eastAsia"/>
                <w:lang w:eastAsia="zh-HK"/>
              </w:rPr>
              <w:t>S1 places in total (A+B+C)</w:t>
            </w:r>
          </w:p>
        </w:tc>
        <w:tc>
          <w:tcPr>
            <w:tcW w:w="993" w:type="dxa"/>
            <w:shd w:val="clear" w:color="auto" w:fill="auto"/>
            <w:vAlign w:val="center"/>
          </w:tcPr>
          <w:p w:rsidR="00326A4C" w:rsidRPr="00EB7BE0" w:rsidRDefault="00326A4C" w:rsidP="00DC238A">
            <w:pPr>
              <w:snapToGrid w:val="0"/>
              <w:jc w:val="center"/>
              <w:rPr>
                <w:rFonts w:ascii="Arial" w:hAnsi="Arial" w:cs="Arial"/>
              </w:rPr>
            </w:pPr>
            <w:r w:rsidRPr="00EB7BE0">
              <w:rPr>
                <w:rFonts w:ascii="Arial" w:hAnsi="Arial" w:cs="Arial"/>
              </w:rPr>
              <w:t>132</w:t>
            </w:r>
          </w:p>
        </w:tc>
        <w:tc>
          <w:tcPr>
            <w:tcW w:w="6252"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hint="eastAsia"/>
                <w:lang w:eastAsia="zh-HK"/>
              </w:rPr>
              <w:t xml:space="preserve">There are altogether 4 classes. </w:t>
            </w:r>
            <w:r w:rsidRPr="00822276">
              <w:rPr>
                <w:rFonts w:ascii="Arial" w:hAnsi="Arial" w:cs="Arial"/>
                <w:lang w:eastAsia="zh-HK"/>
              </w:rPr>
              <w:t xml:space="preserve">English as </w:t>
            </w:r>
            <w:r w:rsidRPr="00822276">
              <w:rPr>
                <w:rFonts w:ascii="Arial" w:hAnsi="Arial" w:cs="Arial" w:hint="eastAsia"/>
                <w:lang w:eastAsia="zh-HK"/>
              </w:rPr>
              <w:t xml:space="preserve">the </w:t>
            </w:r>
            <w:r w:rsidRPr="00822276">
              <w:rPr>
                <w:rFonts w:ascii="Arial" w:hAnsi="Arial" w:cs="Arial"/>
                <w:lang w:eastAsia="zh-HK"/>
              </w:rPr>
              <w:t>medium of instruction applie</w:t>
            </w:r>
            <w:r w:rsidRPr="00822276">
              <w:rPr>
                <w:rFonts w:ascii="Arial" w:hAnsi="Arial" w:cs="Arial" w:hint="eastAsia"/>
                <w:lang w:eastAsia="zh-HK"/>
              </w:rPr>
              <w:t>s</w:t>
            </w:r>
            <w:r w:rsidRPr="00822276">
              <w:rPr>
                <w:rFonts w:ascii="Arial" w:hAnsi="Arial" w:cs="Arial"/>
                <w:lang w:eastAsia="zh-HK"/>
              </w:rPr>
              <w:t xml:space="preserve"> to all 4 classes.</w:t>
            </w:r>
            <w:r w:rsidRPr="00822276">
              <w:rPr>
                <w:rFonts w:ascii="Arial" w:hAnsi="Arial" w:cs="Arial" w:hint="eastAsia"/>
                <w:lang w:eastAsia="zh-HK"/>
              </w:rPr>
              <w:t xml:space="preserve"> </w:t>
            </w:r>
          </w:p>
        </w:tc>
      </w:tr>
      <w:tr w:rsidR="00326A4C" w:rsidRPr="00822276" w:rsidTr="00DC238A">
        <w:tc>
          <w:tcPr>
            <w:tcW w:w="2835" w:type="dxa"/>
            <w:shd w:val="clear" w:color="auto" w:fill="auto"/>
            <w:vAlign w:val="center"/>
          </w:tcPr>
          <w:p w:rsidR="00326A4C" w:rsidRPr="00822276" w:rsidRDefault="00326A4C" w:rsidP="00DC238A">
            <w:pPr>
              <w:snapToGrid w:val="0"/>
              <w:jc w:val="center"/>
              <w:rPr>
                <w:rFonts w:ascii="Arial" w:hAnsi="Arial" w:cs="Arial"/>
                <w:lang w:eastAsia="zh-HK"/>
              </w:rPr>
            </w:pPr>
            <w:r w:rsidRPr="00822276">
              <w:rPr>
                <w:rFonts w:ascii="Arial" w:hAnsi="Arial" w:cs="Arial"/>
                <w:lang w:eastAsia="zh-HK"/>
              </w:rPr>
              <w:t>P</w:t>
            </w:r>
            <w:r w:rsidRPr="00822276">
              <w:rPr>
                <w:rFonts w:ascii="Arial" w:hAnsi="Arial" w:cs="Arial" w:hint="eastAsia"/>
                <w:lang w:eastAsia="zh-HK"/>
              </w:rPr>
              <w:t>laces reserved for S1 repeaters (A)</w:t>
            </w:r>
          </w:p>
        </w:tc>
        <w:tc>
          <w:tcPr>
            <w:tcW w:w="993" w:type="dxa"/>
            <w:shd w:val="clear" w:color="auto" w:fill="auto"/>
            <w:vAlign w:val="center"/>
          </w:tcPr>
          <w:p w:rsidR="00326A4C" w:rsidRPr="00EB7BE0" w:rsidRDefault="00326A4C" w:rsidP="00DC238A">
            <w:pPr>
              <w:snapToGrid w:val="0"/>
              <w:jc w:val="center"/>
              <w:rPr>
                <w:rFonts w:ascii="Arial" w:hAnsi="Arial" w:cs="Arial"/>
                <w:lang w:eastAsia="zh-HK"/>
              </w:rPr>
            </w:pPr>
            <w:r w:rsidRPr="00EB7BE0">
              <w:rPr>
                <w:rFonts w:ascii="Arial" w:hAnsi="Arial" w:cs="Arial" w:hint="eastAsia"/>
                <w:lang w:eastAsia="zh-HK"/>
              </w:rPr>
              <w:t>8</w:t>
            </w:r>
          </w:p>
        </w:tc>
        <w:tc>
          <w:tcPr>
            <w:tcW w:w="6252"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hint="eastAsia"/>
                <w:lang w:eastAsia="zh-HK"/>
              </w:rPr>
              <w:t>Those unused repeater places will be used as Discretionary Places after the release of SSPA results. (Information about applying to be standby candidates will be released in our school website before the release of SSPA results in July.)</w:t>
            </w:r>
          </w:p>
        </w:tc>
      </w:tr>
      <w:tr w:rsidR="00326A4C" w:rsidRPr="00822276" w:rsidTr="00DC238A">
        <w:tc>
          <w:tcPr>
            <w:tcW w:w="2835" w:type="dxa"/>
            <w:shd w:val="clear" w:color="auto" w:fill="auto"/>
            <w:vAlign w:val="center"/>
          </w:tcPr>
          <w:p w:rsidR="00326A4C" w:rsidRPr="00822276" w:rsidRDefault="00326A4C" w:rsidP="00DC238A">
            <w:pPr>
              <w:snapToGrid w:val="0"/>
              <w:jc w:val="center"/>
              <w:rPr>
                <w:rFonts w:ascii="Arial" w:hAnsi="Arial" w:cs="Arial"/>
                <w:lang w:eastAsia="zh-HK"/>
              </w:rPr>
            </w:pPr>
            <w:r w:rsidRPr="00822276">
              <w:rPr>
                <w:rFonts w:ascii="Arial" w:hAnsi="Arial" w:cs="Arial" w:hint="eastAsia"/>
                <w:lang w:eastAsia="zh-HK"/>
              </w:rPr>
              <w:t>Discretionary places (B)</w:t>
            </w:r>
          </w:p>
        </w:tc>
        <w:tc>
          <w:tcPr>
            <w:tcW w:w="993" w:type="dxa"/>
            <w:shd w:val="clear" w:color="auto" w:fill="auto"/>
            <w:vAlign w:val="center"/>
          </w:tcPr>
          <w:p w:rsidR="00326A4C" w:rsidRPr="00EB7BE0" w:rsidRDefault="00326A4C" w:rsidP="00DC238A">
            <w:pPr>
              <w:snapToGrid w:val="0"/>
              <w:jc w:val="center"/>
              <w:rPr>
                <w:rFonts w:ascii="Arial" w:hAnsi="Arial" w:cs="Arial"/>
              </w:rPr>
            </w:pPr>
            <w:r w:rsidRPr="00EB7BE0">
              <w:rPr>
                <w:rFonts w:ascii="Arial" w:hAnsi="Arial" w:cs="Arial"/>
                <w:lang w:eastAsia="zh-HK"/>
              </w:rPr>
              <w:t>40</w:t>
            </w:r>
          </w:p>
        </w:tc>
        <w:tc>
          <w:tcPr>
            <w:tcW w:w="6252" w:type="dxa"/>
            <w:shd w:val="clear" w:color="auto" w:fill="auto"/>
          </w:tcPr>
          <w:p w:rsidR="00326A4C" w:rsidRPr="00822276" w:rsidRDefault="00326A4C" w:rsidP="00DC238A">
            <w:pPr>
              <w:snapToGrid w:val="0"/>
              <w:rPr>
                <w:rFonts w:ascii="Arial" w:hAnsi="Arial" w:cs="Arial"/>
                <w:lang w:eastAsia="zh-HK"/>
              </w:rPr>
            </w:pPr>
          </w:p>
        </w:tc>
      </w:tr>
      <w:tr w:rsidR="00326A4C" w:rsidRPr="00822276" w:rsidTr="00DC238A">
        <w:tc>
          <w:tcPr>
            <w:tcW w:w="2835" w:type="dxa"/>
            <w:shd w:val="clear" w:color="auto" w:fill="auto"/>
            <w:vAlign w:val="center"/>
          </w:tcPr>
          <w:p w:rsidR="00326A4C" w:rsidRPr="00822276" w:rsidRDefault="00326A4C" w:rsidP="00DC238A">
            <w:pPr>
              <w:snapToGrid w:val="0"/>
              <w:jc w:val="center"/>
              <w:rPr>
                <w:rFonts w:ascii="Arial" w:hAnsi="Arial" w:cs="Arial"/>
                <w:lang w:eastAsia="zh-HK"/>
              </w:rPr>
            </w:pPr>
            <w:r w:rsidRPr="00822276">
              <w:rPr>
                <w:rFonts w:ascii="Arial" w:hAnsi="Arial" w:cs="Arial" w:hint="eastAsia"/>
                <w:lang w:eastAsia="zh-HK"/>
              </w:rPr>
              <w:t>Central Allocation (C)</w:t>
            </w:r>
          </w:p>
        </w:tc>
        <w:tc>
          <w:tcPr>
            <w:tcW w:w="993" w:type="dxa"/>
            <w:shd w:val="clear" w:color="auto" w:fill="auto"/>
            <w:vAlign w:val="center"/>
          </w:tcPr>
          <w:p w:rsidR="00326A4C" w:rsidRPr="00EB7BE0" w:rsidRDefault="00326A4C" w:rsidP="00DC238A">
            <w:pPr>
              <w:snapToGrid w:val="0"/>
              <w:jc w:val="center"/>
              <w:rPr>
                <w:rFonts w:ascii="Arial" w:hAnsi="Arial" w:cs="Arial"/>
              </w:rPr>
            </w:pPr>
            <w:r w:rsidRPr="00EB7BE0">
              <w:rPr>
                <w:rFonts w:ascii="Arial" w:hAnsi="Arial" w:cs="Arial"/>
              </w:rPr>
              <w:t>84</w:t>
            </w:r>
          </w:p>
        </w:tc>
        <w:tc>
          <w:tcPr>
            <w:tcW w:w="6252" w:type="dxa"/>
            <w:shd w:val="clear" w:color="auto" w:fill="auto"/>
          </w:tcPr>
          <w:p w:rsidR="00326A4C" w:rsidRPr="00822276" w:rsidRDefault="00326A4C" w:rsidP="00DC238A">
            <w:pPr>
              <w:snapToGrid w:val="0"/>
              <w:rPr>
                <w:rFonts w:ascii="Arial" w:hAnsi="Arial" w:cs="Arial"/>
                <w:lang w:eastAsia="zh-HK"/>
              </w:rPr>
            </w:pPr>
          </w:p>
        </w:tc>
      </w:tr>
      <w:tr w:rsidR="00326A4C" w:rsidRPr="00822276" w:rsidTr="00DC238A">
        <w:tc>
          <w:tcPr>
            <w:tcW w:w="2835" w:type="dxa"/>
            <w:shd w:val="clear" w:color="auto" w:fill="auto"/>
            <w:vAlign w:val="center"/>
          </w:tcPr>
          <w:p w:rsidR="00326A4C" w:rsidRPr="00EB7BE0" w:rsidRDefault="00326A4C" w:rsidP="00DC238A">
            <w:pPr>
              <w:snapToGrid w:val="0"/>
              <w:jc w:val="center"/>
              <w:rPr>
                <w:rFonts w:ascii="Arial" w:hAnsi="Arial" w:cs="Arial"/>
                <w:lang w:eastAsia="zh-HK"/>
              </w:rPr>
            </w:pPr>
            <w:r w:rsidRPr="00822276">
              <w:rPr>
                <w:rFonts w:ascii="Arial" w:hAnsi="Arial" w:cs="Arial" w:hint="eastAsia"/>
                <w:lang w:eastAsia="zh-HK"/>
              </w:rPr>
              <w:t>Discretionary places &amp; Central Allocation (B+C)</w:t>
            </w:r>
          </w:p>
        </w:tc>
        <w:tc>
          <w:tcPr>
            <w:tcW w:w="993" w:type="dxa"/>
            <w:shd w:val="clear" w:color="auto" w:fill="auto"/>
            <w:vAlign w:val="center"/>
          </w:tcPr>
          <w:p w:rsidR="00326A4C" w:rsidRPr="00EB7BE0" w:rsidRDefault="00326A4C" w:rsidP="00DC238A">
            <w:pPr>
              <w:snapToGrid w:val="0"/>
              <w:jc w:val="center"/>
              <w:rPr>
                <w:rFonts w:ascii="Arial" w:hAnsi="Arial" w:cs="Arial"/>
              </w:rPr>
            </w:pPr>
            <w:r w:rsidRPr="00EB7BE0">
              <w:rPr>
                <w:rFonts w:ascii="Arial" w:hAnsi="Arial" w:cs="Arial"/>
                <w:lang w:eastAsia="zh-HK"/>
              </w:rPr>
              <w:t>124</w:t>
            </w:r>
          </w:p>
        </w:tc>
        <w:tc>
          <w:tcPr>
            <w:tcW w:w="6252" w:type="dxa"/>
            <w:shd w:val="clear" w:color="auto" w:fill="auto"/>
            <w:vAlign w:val="center"/>
          </w:tcPr>
          <w:p w:rsidR="00326A4C" w:rsidRPr="00822276" w:rsidRDefault="00326A4C" w:rsidP="00DC238A">
            <w:pPr>
              <w:snapToGrid w:val="0"/>
              <w:jc w:val="both"/>
              <w:rPr>
                <w:rFonts w:ascii="Arial" w:hAnsi="Arial" w:cs="Arial"/>
                <w:lang w:eastAsia="zh-HK"/>
              </w:rPr>
            </w:pPr>
          </w:p>
        </w:tc>
      </w:tr>
    </w:tbl>
    <w:p w:rsidR="00326A4C" w:rsidRPr="008414C1" w:rsidRDefault="00326A4C" w:rsidP="00326A4C">
      <w:pPr>
        <w:snapToGrid w:val="0"/>
        <w:rPr>
          <w:rFonts w:ascii="Arial" w:hAnsi="Arial" w:cs="Arial"/>
          <w:b/>
          <w:lang w:eastAsia="zh-HK"/>
        </w:rPr>
      </w:pPr>
    </w:p>
    <w:p w:rsidR="006B5DA3" w:rsidRPr="008414C1" w:rsidRDefault="00326A4C" w:rsidP="00326A4C">
      <w:pPr>
        <w:rPr>
          <w:rFonts w:ascii="PMingLiU"/>
          <w:b/>
          <w:bCs/>
          <w:sz w:val="28"/>
          <w:szCs w:val="20"/>
        </w:rPr>
      </w:pPr>
      <w:r>
        <w:rPr>
          <w:rFonts w:ascii="PMingLiU" w:hAnsi="PMingLiU"/>
          <w:b/>
          <w:sz w:val="32"/>
        </w:rPr>
        <w:br w:type="page"/>
      </w:r>
      <w:r w:rsidRPr="00326A4C">
        <w:rPr>
          <w:rFonts w:ascii="PMingLiU" w:hint="eastAsia"/>
          <w:b/>
          <w:bCs/>
          <w:sz w:val="28"/>
          <w:szCs w:val="20"/>
        </w:rPr>
        <w:lastRenderedPageBreak/>
        <w:t>中</w:t>
      </w:r>
      <w:r w:rsidR="006B5DA3" w:rsidRPr="008414C1">
        <w:rPr>
          <w:rFonts w:ascii="PMingLiU" w:hint="eastAsia"/>
          <w:b/>
          <w:bCs/>
          <w:sz w:val="28"/>
          <w:szCs w:val="20"/>
        </w:rPr>
        <w:t>一自行分配學位收生準則及比重</w:t>
      </w:r>
    </w:p>
    <w:p w:rsidR="006B5DA3" w:rsidRPr="008414C1" w:rsidRDefault="006B5DA3" w:rsidP="006B5DA3">
      <w:pPr>
        <w:widowControl/>
        <w:numPr>
          <w:ilvl w:val="0"/>
          <w:numId w:val="2"/>
        </w:numPr>
        <w:tabs>
          <w:tab w:val="num" w:pos="720"/>
        </w:tabs>
        <w:ind w:leftChars="100" w:left="720"/>
        <w:rPr>
          <w:rFonts w:ascii="Arial" w:cs="Arial"/>
          <w:kern w:val="0"/>
          <w:szCs w:val="20"/>
        </w:rPr>
      </w:pPr>
      <w:r w:rsidRPr="008414C1">
        <w:rPr>
          <w:rFonts w:ascii="Arial" w:hint="eastAsia"/>
          <w:szCs w:val="20"/>
        </w:rPr>
        <w:t>教育局提供的次第名單</w:t>
      </w:r>
      <w:r w:rsidRPr="008414C1">
        <w:rPr>
          <w:rFonts w:ascii="Arial" w:cs="Arial"/>
          <w:szCs w:val="20"/>
        </w:rPr>
        <w:t>(</w:t>
      </w:r>
      <w:r w:rsidR="00746063">
        <w:rPr>
          <w:rFonts w:ascii="Arial" w:cs="Arial"/>
          <w:szCs w:val="20"/>
        </w:rPr>
        <w:t>4</w:t>
      </w:r>
      <w:r w:rsidRPr="008414C1">
        <w:rPr>
          <w:rFonts w:ascii="Arial" w:cs="Arial" w:hint="eastAsia"/>
          <w:szCs w:val="20"/>
        </w:rPr>
        <w:t>0</w:t>
      </w:r>
      <w:r w:rsidRPr="008414C1">
        <w:rPr>
          <w:rFonts w:ascii="Arial" w:cs="Arial"/>
          <w:szCs w:val="20"/>
        </w:rPr>
        <w:t>%)</w:t>
      </w:r>
    </w:p>
    <w:p w:rsidR="006B5DA3" w:rsidRPr="008414C1" w:rsidRDefault="006B5DA3" w:rsidP="006B5DA3">
      <w:pPr>
        <w:numPr>
          <w:ilvl w:val="0"/>
          <w:numId w:val="2"/>
        </w:numPr>
        <w:tabs>
          <w:tab w:val="num" w:pos="720"/>
        </w:tabs>
        <w:ind w:leftChars="100" w:left="720"/>
        <w:rPr>
          <w:rFonts w:ascii="Arial" w:cs="Arial"/>
          <w:szCs w:val="20"/>
        </w:rPr>
      </w:pPr>
      <w:r w:rsidRPr="008414C1">
        <w:rPr>
          <w:rFonts w:ascii="Arial" w:hint="eastAsia"/>
          <w:szCs w:val="20"/>
        </w:rPr>
        <w:t>非學術表現（例：操行、特殊才能及服務）</w:t>
      </w:r>
      <w:r w:rsidRPr="008414C1">
        <w:rPr>
          <w:rFonts w:ascii="Arial" w:cs="Arial"/>
          <w:szCs w:val="20"/>
        </w:rPr>
        <w:t>(20%)</w:t>
      </w:r>
    </w:p>
    <w:p w:rsidR="006B5DA3" w:rsidRPr="008414C1" w:rsidRDefault="006B5DA3" w:rsidP="006B5DA3">
      <w:pPr>
        <w:numPr>
          <w:ilvl w:val="0"/>
          <w:numId w:val="2"/>
        </w:numPr>
        <w:tabs>
          <w:tab w:val="num" w:pos="720"/>
        </w:tabs>
        <w:ind w:leftChars="100" w:left="720"/>
        <w:rPr>
          <w:rFonts w:ascii="Arial" w:cs="Arial"/>
          <w:szCs w:val="20"/>
        </w:rPr>
      </w:pPr>
      <w:r w:rsidRPr="008414C1">
        <w:rPr>
          <w:rFonts w:ascii="Arial" w:hint="eastAsia"/>
          <w:szCs w:val="20"/>
        </w:rPr>
        <w:t>面試表現</w:t>
      </w:r>
      <w:r w:rsidRPr="008414C1">
        <w:rPr>
          <w:rFonts w:ascii="Arial" w:cs="Arial"/>
          <w:szCs w:val="20"/>
        </w:rPr>
        <w:t>(</w:t>
      </w:r>
      <w:r w:rsidR="00746063">
        <w:rPr>
          <w:rFonts w:ascii="Arial" w:cs="Arial"/>
          <w:szCs w:val="20"/>
        </w:rPr>
        <w:t>3</w:t>
      </w:r>
      <w:r w:rsidRPr="008414C1">
        <w:rPr>
          <w:rFonts w:ascii="Arial" w:cs="Arial"/>
          <w:szCs w:val="20"/>
        </w:rPr>
        <w:t>0%)</w:t>
      </w:r>
    </w:p>
    <w:p w:rsidR="006B5DA3" w:rsidRPr="00326A4C" w:rsidRDefault="006B5DA3" w:rsidP="006B5DA3">
      <w:pPr>
        <w:numPr>
          <w:ilvl w:val="0"/>
          <w:numId w:val="2"/>
        </w:numPr>
        <w:tabs>
          <w:tab w:val="num" w:pos="720"/>
        </w:tabs>
        <w:ind w:leftChars="100" w:left="720"/>
      </w:pPr>
      <w:r>
        <w:rPr>
          <w:rFonts w:hint="eastAsia"/>
        </w:rPr>
        <w:t>對</w:t>
      </w:r>
      <w:r w:rsidRPr="00694D71">
        <w:rPr>
          <w:rFonts w:hint="eastAsia"/>
        </w:rPr>
        <w:t>本校辦學理念</w:t>
      </w:r>
      <w:r>
        <w:rPr>
          <w:rFonts w:hint="eastAsia"/>
        </w:rPr>
        <w:t>之</w:t>
      </w:r>
      <w:r w:rsidRPr="00694D71">
        <w:rPr>
          <w:rFonts w:hint="eastAsia"/>
        </w:rPr>
        <w:t>認同</w:t>
      </w:r>
      <w:r w:rsidRPr="008414C1">
        <w:rPr>
          <w:rFonts w:ascii="Arial" w:cs="Arial"/>
          <w:szCs w:val="20"/>
        </w:rPr>
        <w:t>(</w:t>
      </w:r>
      <w:r w:rsidRPr="008414C1">
        <w:rPr>
          <w:rFonts w:ascii="Arial" w:cs="Arial" w:hint="eastAsia"/>
          <w:szCs w:val="20"/>
        </w:rPr>
        <w:t>10</w:t>
      </w:r>
      <w:r w:rsidRPr="008414C1">
        <w:rPr>
          <w:rFonts w:ascii="Arial" w:cs="Arial"/>
          <w:szCs w:val="20"/>
        </w:rPr>
        <w:t>%</w:t>
      </w:r>
      <w:r w:rsidRPr="008414C1">
        <w:rPr>
          <w:rFonts w:ascii="Arial" w:cs="Arial" w:hint="eastAsia"/>
          <w:szCs w:val="20"/>
        </w:rPr>
        <w:t>)</w:t>
      </w:r>
    </w:p>
    <w:p w:rsidR="00326A4C" w:rsidRPr="00326A4C" w:rsidRDefault="00326A4C" w:rsidP="00326A4C">
      <w:pPr>
        <w:tabs>
          <w:tab w:val="num" w:pos="720"/>
        </w:tabs>
        <w:ind w:left="720"/>
      </w:pPr>
    </w:p>
    <w:p w:rsidR="00326A4C" w:rsidRPr="008414C1" w:rsidRDefault="00326A4C" w:rsidP="00326A4C">
      <w:pPr>
        <w:snapToGrid w:val="0"/>
        <w:rPr>
          <w:rFonts w:ascii="Arial" w:hAnsi="Arial" w:cs="Arial"/>
          <w:b/>
          <w:lang w:eastAsia="zh-HK"/>
        </w:rPr>
      </w:pPr>
      <w:r w:rsidRPr="008414C1">
        <w:rPr>
          <w:rFonts w:ascii="Arial" w:hAnsi="Arial" w:cs="Arial" w:hint="eastAsia"/>
          <w:b/>
          <w:lang w:eastAsia="zh-HK"/>
        </w:rPr>
        <w:t>Admission Criteria and Weighting</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980"/>
      </w:tblGrid>
      <w:tr w:rsidR="00326A4C" w:rsidRPr="00822276" w:rsidTr="00DC238A">
        <w:tc>
          <w:tcPr>
            <w:tcW w:w="8100" w:type="dxa"/>
            <w:shd w:val="clear" w:color="auto" w:fill="auto"/>
          </w:tcPr>
          <w:p w:rsidR="00326A4C" w:rsidRPr="00822276" w:rsidRDefault="00326A4C" w:rsidP="00DC238A">
            <w:pPr>
              <w:snapToGrid w:val="0"/>
              <w:jc w:val="center"/>
              <w:rPr>
                <w:rFonts w:ascii="Arial" w:hAnsi="Arial" w:cs="Arial"/>
                <w:b/>
                <w:lang w:eastAsia="zh-HK"/>
              </w:rPr>
            </w:pPr>
            <w:r w:rsidRPr="00822276">
              <w:rPr>
                <w:rFonts w:ascii="Arial" w:hAnsi="Arial" w:cs="Arial"/>
                <w:bCs/>
                <w:lang w:eastAsia="zh-HK"/>
              </w:rPr>
              <w:t>Items</w:t>
            </w:r>
          </w:p>
        </w:tc>
        <w:tc>
          <w:tcPr>
            <w:tcW w:w="1980" w:type="dxa"/>
            <w:shd w:val="clear" w:color="auto" w:fill="auto"/>
          </w:tcPr>
          <w:p w:rsidR="00326A4C" w:rsidRPr="00822276" w:rsidRDefault="00326A4C" w:rsidP="00DC238A">
            <w:pPr>
              <w:snapToGrid w:val="0"/>
              <w:jc w:val="center"/>
              <w:rPr>
                <w:rFonts w:ascii="Arial" w:hAnsi="Arial" w:cs="Arial"/>
                <w:b/>
                <w:lang w:eastAsia="zh-HK"/>
              </w:rPr>
            </w:pPr>
            <w:r w:rsidRPr="00822276">
              <w:rPr>
                <w:rFonts w:ascii="Arial" w:hAnsi="Arial" w:cs="Arial"/>
                <w:bCs/>
                <w:lang w:eastAsia="zh-HK"/>
              </w:rPr>
              <w:t>Weightings (%)</w:t>
            </w:r>
          </w:p>
        </w:tc>
      </w:tr>
      <w:tr w:rsidR="00326A4C" w:rsidRPr="00822276" w:rsidTr="00DC238A">
        <w:tc>
          <w:tcPr>
            <w:tcW w:w="8100"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hint="eastAsia"/>
                <w:lang w:eastAsia="zh-HK"/>
              </w:rPr>
              <w:t>Ranking in the Rank Order List provided by EDB</w:t>
            </w:r>
          </w:p>
        </w:tc>
        <w:tc>
          <w:tcPr>
            <w:tcW w:w="1980" w:type="dxa"/>
            <w:shd w:val="clear" w:color="auto" w:fill="auto"/>
          </w:tcPr>
          <w:p w:rsidR="00326A4C" w:rsidRPr="00822276" w:rsidRDefault="00326A4C" w:rsidP="00DC238A">
            <w:pPr>
              <w:snapToGrid w:val="0"/>
              <w:jc w:val="center"/>
              <w:rPr>
                <w:rFonts w:ascii="Arial" w:hAnsi="Arial" w:cs="Arial"/>
                <w:lang w:eastAsia="zh-HK"/>
              </w:rPr>
            </w:pPr>
            <w:r>
              <w:rPr>
                <w:rFonts w:ascii="Arial" w:hAnsi="Arial" w:cs="Arial"/>
                <w:lang w:eastAsia="zh-HK"/>
              </w:rPr>
              <w:t>4</w:t>
            </w:r>
            <w:r w:rsidRPr="00822276">
              <w:rPr>
                <w:rFonts w:ascii="Arial" w:hAnsi="Arial" w:cs="Arial"/>
                <w:lang w:eastAsia="zh-HK"/>
              </w:rPr>
              <w:t>0</w:t>
            </w:r>
          </w:p>
        </w:tc>
      </w:tr>
      <w:tr w:rsidR="00326A4C" w:rsidRPr="00822276" w:rsidTr="00DC238A">
        <w:tc>
          <w:tcPr>
            <w:tcW w:w="8100"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hint="eastAsia"/>
                <w:lang w:eastAsia="zh-HK"/>
              </w:rPr>
              <w:t>Non-academic performance (e.g. c</w:t>
            </w:r>
            <w:r w:rsidRPr="00822276">
              <w:rPr>
                <w:rFonts w:ascii="Arial" w:hAnsi="Arial" w:cs="Arial"/>
                <w:lang w:eastAsia="zh-HK"/>
              </w:rPr>
              <w:t>onduct</w:t>
            </w:r>
            <w:r w:rsidRPr="00822276">
              <w:rPr>
                <w:rFonts w:ascii="Arial" w:hAnsi="Arial" w:cs="Arial" w:hint="eastAsia"/>
                <w:lang w:eastAsia="zh-HK"/>
              </w:rPr>
              <w:t>, special talents and service)</w:t>
            </w:r>
          </w:p>
        </w:tc>
        <w:tc>
          <w:tcPr>
            <w:tcW w:w="1980" w:type="dxa"/>
            <w:shd w:val="clear" w:color="auto" w:fill="auto"/>
          </w:tcPr>
          <w:p w:rsidR="00326A4C" w:rsidRPr="00822276" w:rsidRDefault="00326A4C" w:rsidP="00DC238A">
            <w:pPr>
              <w:snapToGrid w:val="0"/>
              <w:jc w:val="center"/>
              <w:rPr>
                <w:rFonts w:ascii="Arial" w:hAnsi="Arial" w:cs="Arial"/>
                <w:lang w:eastAsia="zh-HK"/>
              </w:rPr>
            </w:pPr>
            <w:r w:rsidRPr="00822276">
              <w:rPr>
                <w:rFonts w:ascii="Arial" w:hAnsi="Arial" w:cs="Arial"/>
                <w:lang w:eastAsia="zh-HK"/>
              </w:rPr>
              <w:t>20</w:t>
            </w:r>
          </w:p>
        </w:tc>
      </w:tr>
      <w:tr w:rsidR="00326A4C" w:rsidRPr="00822276" w:rsidTr="00DC238A">
        <w:tc>
          <w:tcPr>
            <w:tcW w:w="8100"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lang w:eastAsia="zh-HK"/>
              </w:rPr>
              <w:t>Interview</w:t>
            </w:r>
            <w:r w:rsidRPr="00822276">
              <w:rPr>
                <w:rFonts w:ascii="Arial" w:hAnsi="Arial" w:cs="Arial" w:hint="eastAsia"/>
                <w:lang w:eastAsia="zh-HK"/>
              </w:rPr>
              <w:t xml:space="preserve"> performance</w:t>
            </w:r>
          </w:p>
        </w:tc>
        <w:tc>
          <w:tcPr>
            <w:tcW w:w="1980" w:type="dxa"/>
            <w:shd w:val="clear" w:color="auto" w:fill="auto"/>
          </w:tcPr>
          <w:p w:rsidR="00326A4C" w:rsidRPr="00822276" w:rsidRDefault="00326A4C" w:rsidP="00DC238A">
            <w:pPr>
              <w:snapToGrid w:val="0"/>
              <w:jc w:val="center"/>
              <w:rPr>
                <w:rFonts w:ascii="Arial" w:hAnsi="Arial" w:cs="Arial"/>
                <w:lang w:eastAsia="zh-HK"/>
              </w:rPr>
            </w:pPr>
            <w:r>
              <w:rPr>
                <w:rFonts w:ascii="Arial" w:hAnsi="Arial" w:cs="Arial"/>
                <w:lang w:eastAsia="zh-HK"/>
              </w:rPr>
              <w:t>3</w:t>
            </w:r>
            <w:r w:rsidRPr="00822276">
              <w:rPr>
                <w:rFonts w:ascii="Arial" w:hAnsi="Arial" w:cs="Arial"/>
                <w:lang w:eastAsia="zh-HK"/>
              </w:rPr>
              <w:t>0</w:t>
            </w:r>
          </w:p>
        </w:tc>
      </w:tr>
      <w:tr w:rsidR="00326A4C" w:rsidRPr="00822276" w:rsidTr="00DC238A">
        <w:tc>
          <w:tcPr>
            <w:tcW w:w="8100" w:type="dxa"/>
            <w:shd w:val="clear" w:color="auto" w:fill="auto"/>
          </w:tcPr>
          <w:p w:rsidR="00326A4C" w:rsidRPr="00822276" w:rsidRDefault="00326A4C" w:rsidP="00DC238A">
            <w:pPr>
              <w:snapToGrid w:val="0"/>
              <w:rPr>
                <w:rFonts w:ascii="Arial" w:hAnsi="Arial" w:cs="Arial"/>
                <w:lang w:eastAsia="zh-HK"/>
              </w:rPr>
            </w:pPr>
            <w:r w:rsidRPr="00822276">
              <w:rPr>
                <w:rFonts w:ascii="Arial" w:hAnsi="Arial" w:cs="Arial"/>
              </w:rPr>
              <w:t>Subscription to the College’s mission</w:t>
            </w:r>
          </w:p>
        </w:tc>
        <w:tc>
          <w:tcPr>
            <w:tcW w:w="1980" w:type="dxa"/>
            <w:shd w:val="clear" w:color="auto" w:fill="auto"/>
            <w:vAlign w:val="center"/>
          </w:tcPr>
          <w:p w:rsidR="00326A4C" w:rsidRPr="00822276" w:rsidRDefault="00326A4C" w:rsidP="00DC238A">
            <w:pPr>
              <w:snapToGrid w:val="0"/>
              <w:jc w:val="center"/>
              <w:rPr>
                <w:rFonts w:ascii="Arial" w:hAnsi="Arial" w:cs="Arial"/>
                <w:lang w:eastAsia="zh-HK"/>
              </w:rPr>
            </w:pPr>
            <w:r w:rsidRPr="00822276">
              <w:rPr>
                <w:rFonts w:ascii="Arial" w:hAnsi="Arial" w:cs="Arial"/>
                <w:lang w:eastAsia="zh-HK"/>
              </w:rPr>
              <w:t>1</w:t>
            </w:r>
            <w:r w:rsidRPr="00822276">
              <w:rPr>
                <w:rFonts w:ascii="Arial" w:hAnsi="Arial" w:cs="Arial" w:hint="eastAsia"/>
                <w:lang w:eastAsia="zh-HK"/>
              </w:rPr>
              <w:t>0</w:t>
            </w:r>
          </w:p>
        </w:tc>
      </w:tr>
    </w:tbl>
    <w:p w:rsidR="000737AB" w:rsidRDefault="000737AB" w:rsidP="000737AB">
      <w:pPr>
        <w:snapToGrid w:val="0"/>
        <w:rPr>
          <w:rFonts w:ascii="PMingLiU" w:hAnsi="PMingLiU"/>
          <w:b/>
          <w:sz w:val="32"/>
        </w:rPr>
      </w:pPr>
    </w:p>
    <w:p w:rsidR="000737AB" w:rsidRDefault="000737AB" w:rsidP="000737AB">
      <w:r>
        <w:rPr>
          <w:rFonts w:hint="eastAsia"/>
        </w:rPr>
        <w:t>所有申請者將於二月獲邀面試，申請者需展示其中英</w:t>
      </w:r>
      <w:r>
        <w:rPr>
          <w:rFonts w:hint="eastAsia"/>
          <w:lang w:eastAsia="zh-HK"/>
        </w:rPr>
        <w:t>數水</w:t>
      </w:r>
      <w:r w:rsidRPr="00547578">
        <w:rPr>
          <w:rFonts w:hint="eastAsia"/>
        </w:rPr>
        <w:t>平，以及對周遭事物的認識和思考能力。</w:t>
      </w:r>
      <w:r w:rsidRPr="00547578">
        <w:rPr>
          <w:rFonts w:hint="eastAsia"/>
        </w:rPr>
        <w:t xml:space="preserve"> </w:t>
      </w:r>
      <w:r w:rsidRPr="00547578">
        <w:rPr>
          <w:rFonts w:hint="eastAsia"/>
        </w:rPr>
        <w:t>除了暑期銜接課程外，本校亦會舉辦一連串活動，幫助中一生適應中學生活。</w:t>
      </w:r>
    </w:p>
    <w:p w:rsidR="00EB7BE0" w:rsidRDefault="00EB7BE0" w:rsidP="000737AB">
      <w:pPr>
        <w:rPr>
          <w:rFonts w:hint="eastAsia"/>
        </w:rPr>
      </w:pPr>
    </w:p>
    <w:tbl>
      <w:tblPr>
        <w:tblStyle w:val="TableGrid"/>
        <w:tblW w:w="10255" w:type="dxa"/>
        <w:tblLook w:val="04A0" w:firstRow="1" w:lastRow="0" w:firstColumn="1" w:lastColumn="0" w:noHBand="0" w:noVBand="1"/>
      </w:tblPr>
      <w:tblGrid>
        <w:gridCol w:w="10255"/>
      </w:tblGrid>
      <w:tr w:rsidR="000737AB" w:rsidTr="004B2C80">
        <w:tc>
          <w:tcPr>
            <w:tcW w:w="10255" w:type="dxa"/>
          </w:tcPr>
          <w:p w:rsidR="004B2C80" w:rsidRDefault="000737AB" w:rsidP="001F5F57">
            <w:r w:rsidRPr="00547578">
              <w:rPr>
                <w:rFonts w:hint="eastAsia"/>
              </w:rPr>
              <w:t>鑑於教育局對直屬學校政策的改變，循道中學於</w:t>
            </w:r>
            <w:r w:rsidRPr="00547578">
              <w:rPr>
                <w:rFonts w:hint="eastAsia"/>
              </w:rPr>
              <w:t>2022-2023</w:t>
            </w:r>
            <w:r w:rsidRPr="00547578">
              <w:rPr>
                <w:rFonts w:hint="eastAsia"/>
              </w:rPr>
              <w:t>年度起與循道學校停止直屬關係，屆時將不再預留特定</w:t>
            </w:r>
            <w:r w:rsidRPr="00547578">
              <w:rPr>
                <w:rFonts w:hint="eastAsia"/>
              </w:rPr>
              <w:t xml:space="preserve"> </w:t>
            </w:r>
            <w:r w:rsidRPr="00547578">
              <w:rPr>
                <w:rFonts w:hint="eastAsia"/>
              </w:rPr>
              <w:t>之百分比的學位予循道學校的畢業生。</w:t>
            </w:r>
            <w:r w:rsidRPr="00547578">
              <w:rPr>
                <w:rFonts w:hint="eastAsia"/>
              </w:rPr>
              <w:t xml:space="preserve"> </w:t>
            </w:r>
          </w:p>
          <w:p w:rsidR="000737AB" w:rsidRPr="00B3061F" w:rsidRDefault="000737AB" w:rsidP="001F5F57">
            <w:pPr>
              <w:rPr>
                <w:rFonts w:ascii="Arial" w:hAnsi="Arial" w:cs="Arial"/>
              </w:rPr>
            </w:pPr>
            <w:r w:rsidRPr="00B3061F">
              <w:rPr>
                <w:rFonts w:ascii="Arial" w:hAnsi="Arial" w:cs="Arial"/>
              </w:rPr>
              <w:t>Due to the change in policies regarding feeder schools, the feeder school relationship between Methodist College and Methodist School will be terminated from 2022-2023 onwards. The practice of reserving a certain proportion of Form 1 places for graduates from Methodist School will not be adopted from then on.</w:t>
            </w:r>
          </w:p>
          <w:p w:rsidR="000737AB" w:rsidRDefault="000737AB" w:rsidP="001F5F57"/>
        </w:tc>
      </w:tr>
    </w:tbl>
    <w:p w:rsidR="00C906D9" w:rsidRDefault="00C906D9" w:rsidP="00C906D9">
      <w:pPr>
        <w:snapToGrid w:val="0"/>
        <w:rPr>
          <w:rFonts w:ascii="PMingLiU" w:hAnsi="PMingLiU"/>
          <w:b/>
          <w:sz w:val="32"/>
        </w:rPr>
      </w:pPr>
    </w:p>
    <w:p w:rsidR="00C906D9" w:rsidRDefault="00C906D9" w:rsidP="00C906D9">
      <w:pPr>
        <w:snapToGrid w:val="0"/>
        <w:rPr>
          <w:rFonts w:ascii="PMingLiU" w:hAnsi="PMingLiU"/>
          <w:b/>
          <w:sz w:val="32"/>
        </w:rPr>
      </w:pPr>
      <w:bookmarkStart w:id="0" w:name="_GoBack"/>
      <w:bookmarkEnd w:id="0"/>
    </w:p>
    <w:p w:rsidR="00326A4C" w:rsidRDefault="00326A4C" w:rsidP="00326A4C">
      <w:pPr>
        <w:tabs>
          <w:tab w:val="num" w:pos="720"/>
        </w:tabs>
        <w:rPr>
          <w:rFonts w:ascii="Arial" w:cs="Arial"/>
          <w:szCs w:val="20"/>
        </w:rPr>
      </w:pPr>
    </w:p>
    <w:p w:rsidR="00326A4C" w:rsidRDefault="00326A4C" w:rsidP="00326A4C">
      <w:pPr>
        <w:autoSpaceDE w:val="0"/>
        <w:autoSpaceDN w:val="0"/>
        <w:adjustRightInd w:val="0"/>
        <w:rPr>
          <w:rFonts w:ascii="Helvetica-Light" w:hAnsi="Helvetica-Light" w:cs="Helvetica-Light"/>
          <w:kern w:val="0"/>
          <w:sz w:val="20"/>
          <w:szCs w:val="20"/>
        </w:rPr>
      </w:pPr>
      <w:r>
        <w:rPr>
          <w:rFonts w:ascii="Helvetica-Light" w:hAnsi="Helvetica-Light" w:cs="Helvetica-Light"/>
          <w:kern w:val="0"/>
          <w:sz w:val="20"/>
          <w:szCs w:val="20"/>
        </w:rPr>
        <w:t xml:space="preserve">Pre-S1 Information Day: </w:t>
      </w:r>
      <w:r>
        <w:rPr>
          <w:rFonts w:ascii="Helvetica-Light" w:hAnsi="Helvetica-Light" w:cs="Helvetica-Light" w:hint="eastAsia"/>
          <w:kern w:val="0"/>
          <w:sz w:val="20"/>
          <w:szCs w:val="20"/>
        </w:rPr>
        <w:t>14</w:t>
      </w:r>
      <w:r>
        <w:rPr>
          <w:rFonts w:ascii="Helvetica-Light" w:hAnsi="Helvetica-Light" w:cs="Helvetica-Light"/>
          <w:kern w:val="0"/>
          <w:sz w:val="20"/>
          <w:szCs w:val="20"/>
        </w:rPr>
        <w:t>-12-201</w:t>
      </w:r>
      <w:r>
        <w:rPr>
          <w:rFonts w:ascii="Helvetica-Light" w:hAnsi="Helvetica-Light" w:cs="Helvetica-Light" w:hint="eastAsia"/>
          <w:kern w:val="0"/>
          <w:sz w:val="20"/>
          <w:szCs w:val="20"/>
        </w:rPr>
        <w:t>9</w:t>
      </w:r>
    </w:p>
    <w:p w:rsidR="00326A4C" w:rsidRDefault="00326A4C" w:rsidP="00326A4C">
      <w:pPr>
        <w:autoSpaceDE w:val="0"/>
        <w:autoSpaceDN w:val="0"/>
        <w:adjustRightInd w:val="0"/>
        <w:rPr>
          <w:rFonts w:ascii="DFHeiHK-W3" w:eastAsia="DFHeiHK-W3" w:hAnsi="Helvetica-Light" w:cs="DFHeiHK-W3"/>
          <w:kern w:val="0"/>
          <w:sz w:val="20"/>
          <w:szCs w:val="20"/>
        </w:rPr>
      </w:pPr>
      <w:r>
        <w:rPr>
          <w:rFonts w:ascii="DFHeiHK-W3" w:eastAsia="DFHeiHK-W3" w:hAnsi="Helvetica-Light" w:cs="DFHeiHK-W3" w:hint="eastAsia"/>
          <w:kern w:val="0"/>
          <w:sz w:val="20"/>
          <w:szCs w:val="20"/>
        </w:rPr>
        <w:t>中一入學</w:t>
      </w:r>
      <w:r w:rsidRPr="00326A4C">
        <w:rPr>
          <w:rFonts w:ascii="DFHeiHK-W3" w:eastAsia="DFHeiHK-W3" w:hAnsi="Helvetica-Light" w:cs="DFHeiHK-W3" w:hint="eastAsia"/>
          <w:kern w:val="0"/>
          <w:sz w:val="20"/>
          <w:szCs w:val="20"/>
        </w:rPr>
        <w:t>資訊日</w:t>
      </w:r>
    </w:p>
    <w:p w:rsidR="00326A4C" w:rsidRDefault="00326A4C" w:rsidP="00326A4C">
      <w:pPr>
        <w:autoSpaceDE w:val="0"/>
        <w:autoSpaceDN w:val="0"/>
        <w:adjustRightInd w:val="0"/>
        <w:rPr>
          <w:rFonts w:ascii="DFHeiHK-W3" w:eastAsia="DFHeiHK-W3" w:hAnsi="Helvetica-Light" w:cs="DFHeiHK-W3"/>
          <w:kern w:val="0"/>
          <w:sz w:val="20"/>
          <w:szCs w:val="20"/>
        </w:rPr>
      </w:pPr>
      <w:r>
        <w:rPr>
          <w:rFonts w:ascii="DFHeiHK-W3" w:eastAsia="DFHeiHK-W3" w:hAnsi="Helvetica-Light" w:cs="DFHeiHK-W3"/>
          <w:kern w:val="0"/>
          <w:sz w:val="20"/>
          <w:szCs w:val="20"/>
        </w:rPr>
        <w:t>201</w:t>
      </w:r>
      <w:r>
        <w:rPr>
          <w:rFonts w:ascii="DFHeiHK-W3" w:eastAsia="DFHeiHK-W3" w:hAnsi="Helvetica-Light" w:cs="DFHeiHK-W3" w:hint="eastAsia"/>
          <w:kern w:val="0"/>
          <w:sz w:val="20"/>
          <w:szCs w:val="20"/>
        </w:rPr>
        <w:t>9年</w:t>
      </w:r>
      <w:r>
        <w:rPr>
          <w:rFonts w:ascii="DFHeiHK-W3" w:eastAsia="DFHeiHK-W3" w:hAnsi="Helvetica-Light" w:cs="DFHeiHK-W3"/>
          <w:kern w:val="0"/>
          <w:sz w:val="20"/>
          <w:szCs w:val="20"/>
        </w:rPr>
        <w:t>12</w:t>
      </w:r>
      <w:r>
        <w:rPr>
          <w:rFonts w:ascii="DFHeiHK-W3" w:eastAsia="DFHeiHK-W3" w:hAnsi="Helvetica-Light" w:cs="DFHeiHK-W3" w:hint="eastAsia"/>
          <w:kern w:val="0"/>
          <w:sz w:val="20"/>
          <w:szCs w:val="20"/>
        </w:rPr>
        <w:t>月14日（星期六）</w:t>
      </w:r>
    </w:p>
    <w:p w:rsidR="00326A4C" w:rsidRDefault="00326A4C" w:rsidP="00326A4C">
      <w:pPr>
        <w:autoSpaceDE w:val="0"/>
        <w:autoSpaceDN w:val="0"/>
        <w:adjustRightInd w:val="0"/>
        <w:rPr>
          <w:rFonts w:ascii="Helvetica-Light" w:hAnsi="Helvetica-Light" w:cs="Helvetica-Light"/>
          <w:kern w:val="0"/>
          <w:sz w:val="20"/>
          <w:szCs w:val="20"/>
        </w:rPr>
      </w:pPr>
      <w:r>
        <w:rPr>
          <w:rFonts w:ascii="Helvetica-Light" w:hAnsi="Helvetica-Light" w:cs="Helvetica-Light"/>
          <w:kern w:val="0"/>
          <w:sz w:val="20"/>
          <w:szCs w:val="20"/>
        </w:rPr>
        <w:t>To register for this activity and others, please visit our website.</w:t>
      </w:r>
    </w:p>
    <w:p w:rsidR="00326A4C" w:rsidRDefault="00326A4C" w:rsidP="00326A4C">
      <w:r>
        <w:rPr>
          <w:rFonts w:ascii="DFHeiHK-W3" w:eastAsia="DFHeiHK-W3" w:hAnsi="Helvetica-Light" w:cs="DFHeiHK-W3" w:hint="eastAsia"/>
          <w:kern w:val="0"/>
          <w:sz w:val="20"/>
          <w:szCs w:val="20"/>
        </w:rPr>
        <w:t>如欲報名參與，請留意本校網頁</w:t>
      </w:r>
      <w:r>
        <w:rPr>
          <w:rFonts w:ascii="DFHeiHK-W3" w:eastAsia="DFHeiHK-W3" w:hAnsi="Helvetica-Light" w:cs="DFHeiHK-W3"/>
          <w:kern w:val="0"/>
          <w:sz w:val="20"/>
          <w:szCs w:val="20"/>
        </w:rPr>
        <w:t xml:space="preserve"> www.mckln.edu.hk</w:t>
      </w:r>
    </w:p>
    <w:p w:rsidR="00326A4C" w:rsidRPr="008414C1" w:rsidRDefault="00326A4C" w:rsidP="00326A4C">
      <w:pPr>
        <w:tabs>
          <w:tab w:val="num" w:pos="720"/>
        </w:tabs>
      </w:pPr>
    </w:p>
    <w:p w:rsidR="006B5DA3" w:rsidRPr="002D7743" w:rsidRDefault="006B5DA3" w:rsidP="006B5DA3"/>
    <w:p w:rsidR="006E4B98" w:rsidRDefault="006E4B98"/>
    <w:sectPr w:rsidR="006E4B98" w:rsidSect="006B5DA3">
      <w:pgSz w:w="11906" w:h="16838"/>
      <w:pgMar w:top="810" w:right="926" w:bottom="719"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1F" w:rsidRDefault="00C3011F" w:rsidP="00746063">
      <w:r>
        <w:separator/>
      </w:r>
    </w:p>
  </w:endnote>
  <w:endnote w:type="continuationSeparator" w:id="0">
    <w:p w:rsidR="00C3011F" w:rsidRDefault="00C3011F" w:rsidP="007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DFHeiHK-W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1F" w:rsidRDefault="00C3011F" w:rsidP="00746063">
      <w:r>
        <w:separator/>
      </w:r>
    </w:p>
  </w:footnote>
  <w:footnote w:type="continuationSeparator" w:id="0">
    <w:p w:rsidR="00C3011F" w:rsidRDefault="00C3011F" w:rsidP="0074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89C"/>
    <w:multiLevelType w:val="hybridMultilevel"/>
    <w:tmpl w:val="2180701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13502078"/>
    <w:multiLevelType w:val="hybridMultilevel"/>
    <w:tmpl w:val="B4DCD38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50C3FED"/>
    <w:multiLevelType w:val="hybridMultilevel"/>
    <w:tmpl w:val="7092F22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5803470"/>
    <w:multiLevelType w:val="hybridMultilevel"/>
    <w:tmpl w:val="A7EEF6FA"/>
    <w:lvl w:ilvl="0" w:tplc="0409000F">
      <w:start w:val="1"/>
      <w:numFmt w:val="decimal"/>
      <w:lvlText w:val="%1."/>
      <w:lvlJc w:val="left"/>
      <w:pPr>
        <w:tabs>
          <w:tab w:val="num" w:pos="480"/>
        </w:tabs>
        <w:ind w:left="480" w:hanging="480"/>
      </w:pPr>
    </w:lvl>
    <w:lvl w:ilvl="1" w:tplc="0409000D">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A3"/>
    <w:rsid w:val="000737AB"/>
    <w:rsid w:val="001152DF"/>
    <w:rsid w:val="00326A4C"/>
    <w:rsid w:val="004B2C80"/>
    <w:rsid w:val="005836E1"/>
    <w:rsid w:val="006B5DA3"/>
    <w:rsid w:val="006D6356"/>
    <w:rsid w:val="006E4B98"/>
    <w:rsid w:val="00746063"/>
    <w:rsid w:val="007F056C"/>
    <w:rsid w:val="007F5D09"/>
    <w:rsid w:val="00AE2CCC"/>
    <w:rsid w:val="00B3061F"/>
    <w:rsid w:val="00BC0190"/>
    <w:rsid w:val="00C3011F"/>
    <w:rsid w:val="00C70829"/>
    <w:rsid w:val="00C906D9"/>
    <w:rsid w:val="00D50A33"/>
    <w:rsid w:val="00EB7BE0"/>
    <w:rsid w:val="00F63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A260A3"/>
  <w15:chartTrackingRefBased/>
  <w15:docId w15:val="{B1AD1702-F860-45C5-B795-FF72EE62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DA3"/>
    <w:pPr>
      <w:widowControl w:val="0"/>
    </w:pPr>
    <w:rPr>
      <w:rFonts w:ascii="Times New Roman" w:eastAsia="PMingLiU"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063"/>
    <w:pPr>
      <w:tabs>
        <w:tab w:val="center" w:pos="4680"/>
        <w:tab w:val="right" w:pos="9360"/>
      </w:tabs>
    </w:pPr>
  </w:style>
  <w:style w:type="character" w:customStyle="1" w:styleId="HeaderChar">
    <w:name w:val="Header Char"/>
    <w:basedOn w:val="DefaultParagraphFont"/>
    <w:link w:val="Header"/>
    <w:uiPriority w:val="99"/>
    <w:rsid w:val="00746063"/>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746063"/>
    <w:pPr>
      <w:tabs>
        <w:tab w:val="center" w:pos="4680"/>
        <w:tab w:val="right" w:pos="9360"/>
      </w:tabs>
    </w:pPr>
  </w:style>
  <w:style w:type="character" w:customStyle="1" w:styleId="FooterChar">
    <w:name w:val="Footer Char"/>
    <w:basedOn w:val="DefaultParagraphFont"/>
    <w:link w:val="Footer"/>
    <w:uiPriority w:val="99"/>
    <w:rsid w:val="00746063"/>
    <w:rPr>
      <w:rFonts w:ascii="Times New Roman" w:eastAsia="PMingLiU" w:hAnsi="Times New Roman" w:cs="Times New Roman"/>
      <w:kern w:val="2"/>
      <w:sz w:val="24"/>
      <w:szCs w:val="24"/>
    </w:rPr>
  </w:style>
  <w:style w:type="table" w:styleId="TableGrid">
    <w:name w:val="Table Grid"/>
    <w:basedOn w:val="TableNormal"/>
    <w:uiPriority w:val="39"/>
    <w:rsid w:val="0007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CHI SHING</dc:creator>
  <cp:keywords/>
  <dc:description/>
  <cp:lastModifiedBy>ysys</cp:lastModifiedBy>
  <cp:revision>8</cp:revision>
  <dcterms:created xsi:type="dcterms:W3CDTF">2019-09-26T08:59:00Z</dcterms:created>
  <dcterms:modified xsi:type="dcterms:W3CDTF">2019-11-01T06:02:00Z</dcterms:modified>
</cp:coreProperties>
</file>